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5A5" w:rsidRDefault="00A255A5" w:rsidP="00FB44EB">
      <w:pPr>
        <w:spacing w:after="0" w:line="269" w:lineRule="auto"/>
        <w:jc w:val="center"/>
        <w:rPr>
          <w:rFonts w:ascii="Calibri" w:eastAsia="Calibri" w:hAnsi="Calibri" w:cs="Calibri"/>
          <w:b/>
          <w:bCs/>
          <w:sz w:val="28"/>
          <w:szCs w:val="28"/>
          <w:bdr w:val="nil"/>
          <w:lang w:val="de-DE"/>
        </w:rPr>
      </w:pPr>
    </w:p>
    <w:p w:rsidR="00FB44EB" w:rsidRPr="00501126" w:rsidRDefault="00501126" w:rsidP="00FB44EB">
      <w:pPr>
        <w:spacing w:after="0" w:line="269" w:lineRule="auto"/>
        <w:jc w:val="center"/>
        <w:rPr>
          <w:rFonts w:eastAsia="Times New Roman" w:cs="Times New Roman"/>
          <w:b/>
          <w:bCs/>
          <w:sz w:val="28"/>
          <w:szCs w:val="28"/>
          <w:lang w:val="de-DE"/>
        </w:rPr>
      </w:pPr>
      <w:r w:rsidRPr="00501126">
        <w:rPr>
          <w:rFonts w:ascii="Calibri" w:eastAsia="Calibri" w:hAnsi="Calibri" w:cs="Calibri"/>
          <w:b/>
          <w:bCs/>
          <w:sz w:val="28"/>
          <w:szCs w:val="28"/>
          <w:bdr w:val="nil"/>
          <w:lang w:val="de-DE"/>
        </w:rPr>
        <w:t>Europäische Kühllager und Supermärkte können unter Verwendung von Wärmespeichern Stromspitzenbedarf um bis zu 90 Prozent reduzieren</w:t>
      </w:r>
    </w:p>
    <w:p w:rsidR="00FB44EB" w:rsidRPr="00501126" w:rsidRDefault="00FB44EB" w:rsidP="00FB44EB">
      <w:pPr>
        <w:spacing w:after="0" w:line="269" w:lineRule="auto"/>
        <w:jc w:val="center"/>
        <w:rPr>
          <w:rFonts w:eastAsia="Times New Roman" w:cs="Times New Roman"/>
          <w:b/>
          <w:bCs/>
          <w:lang w:val="de-DE"/>
        </w:rPr>
      </w:pPr>
    </w:p>
    <w:p w:rsidR="00FB44EB" w:rsidRPr="00501126" w:rsidRDefault="00501126" w:rsidP="00FB44EB">
      <w:pPr>
        <w:spacing w:after="0" w:line="269" w:lineRule="auto"/>
        <w:jc w:val="center"/>
        <w:rPr>
          <w:rFonts w:eastAsia="Times New Roman" w:cs="Times New Roman"/>
          <w:b/>
          <w:bCs/>
          <w:lang w:val="de-DE"/>
        </w:rPr>
      </w:pPr>
      <w:r w:rsidRPr="00501126">
        <w:rPr>
          <w:rFonts w:ascii="Calibri" w:eastAsia="Calibri" w:hAnsi="Calibri" w:cs="Calibri"/>
          <w:bCs/>
          <w:i/>
          <w:iCs/>
          <w:bdr w:val="nil"/>
          <w:lang w:val="de-DE"/>
        </w:rPr>
        <w:t>US-amerikanischer Innovator führt Technologie ein, um Solarenergie zu nutzen, um Kosten und Kohlendioxid-Emissionen der europäischen Kühlhäuser und Supermärkte zu reduzieren und gleichzeitig das Stromnetz zu schützen</w:t>
      </w:r>
      <w:r w:rsidRPr="00501126">
        <w:rPr>
          <w:rFonts w:ascii="Calibri" w:eastAsia="Calibri" w:hAnsi="Calibri" w:cs="Calibri"/>
          <w:b/>
          <w:bCs/>
          <w:bdr w:val="nil"/>
          <w:lang w:val="de-DE"/>
        </w:rPr>
        <w:t>.</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cs="Arial"/>
          <w:lang w:val="de-DE"/>
        </w:rPr>
      </w:pPr>
      <w:r w:rsidRPr="00501126">
        <w:rPr>
          <w:rFonts w:ascii="Calibri" w:eastAsia="Calibri" w:hAnsi="Calibri" w:cs="Calibri"/>
          <w:b/>
          <w:bCs/>
          <w:bdr w:val="nil"/>
          <w:lang w:val="de-DE"/>
        </w:rPr>
        <w:t>HANNOVER, DEUTSCHLAND</w:t>
      </w:r>
      <w:r w:rsidRPr="00501126">
        <w:rPr>
          <w:rFonts w:ascii="Calibri" w:eastAsia="Calibri" w:hAnsi="Calibri" w:cs="Calibri"/>
          <w:bdr w:val="nil"/>
          <w:lang w:val="de-DE"/>
        </w:rPr>
        <w:t xml:space="preserve"> (26. April 2016): Viking Cold Solutions™, ein führender Anbieter von Wärmeenergiemanagement-Lösungen für Kühlhäuser und Supermärkte, hat heute auf der Hannover Messe, der führenden Fachmesse für Industrietechnik, die Markteinführung von Solar Energy Storage™ bekanntgegeben.</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cs="Times New Roman"/>
          <w:lang w:val="de-DE"/>
        </w:rPr>
      </w:pPr>
      <w:r w:rsidRPr="00501126">
        <w:rPr>
          <w:rFonts w:ascii="Calibri" w:eastAsia="Calibri" w:hAnsi="Calibri" w:cs="Calibri"/>
          <w:bdr w:val="nil"/>
          <w:lang w:val="de-DE"/>
        </w:rPr>
        <w:t xml:space="preserve">Das System kombiniert Viking Colds patentiertes Wärmespeichersystem mit Solardach-Photovoltaik (PV), um umweltfreundliches, kostengünstiges Energiemanagement für Kühlhäuser, Supermärkte und Versorgungsunternehmen Rund um die Uhr bereitzustellen. Das System kann den Stromspitzenbedarf um bis zu 90 Prozent reduzieren. So spart es Kunden Geld und trägt zum Ausgleich des Stromnetzes bei. </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 xml:space="preserve">James Bell, CEO von Viking Cold Solutions, sagte: </w:t>
      </w:r>
    </w:p>
    <w:p w:rsidR="00FB44EB" w:rsidRPr="00501126" w:rsidRDefault="00FB44EB" w:rsidP="00FB44EB">
      <w:pPr>
        <w:spacing w:after="0" w:line="269" w:lineRule="auto"/>
        <w:rPr>
          <w:rFonts w:cs="Times New Roman"/>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 xml:space="preserve"> „Solarenergie hat sich als eine kostengünstige, zuverlässige und umweltfreundliche Ressource erwiesen, aber aufgrund der natürlichen Schwankungen der Sonneneinstrahlung konnte sie bis jetzt nicht zur Stromversorgung für Kältespeicher rund um die Uhr verwendet werden.“ </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 xml:space="preserve"> „Bis jetzt war das fehlende Puzzleteil kostengünstige und zuverlässige Wärmespeicher. Unser System erhöht die Nutzbarkeit von Sonnenenergie für Kältespeicherbetreiber, so dass sie latente Energie innerhalb der Speicherzellen speichern können, um nachhaltig ihre Produkte zu schützen und gleichzeitig die Betriebskosten für Energie zu senken.“</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cs="Times New Roman"/>
          <w:lang w:val="de-DE"/>
        </w:rPr>
      </w:pPr>
      <w:r w:rsidRPr="00501126">
        <w:rPr>
          <w:rFonts w:ascii="Calibri" w:eastAsia="Calibri" w:hAnsi="Calibri" w:cs="Calibri"/>
          <w:bdr w:val="nil"/>
          <w:lang w:val="de-DE"/>
        </w:rPr>
        <w:t xml:space="preserve">Die Technologie ermöglicht es Kühlhäusern, Supermärkten und Versorgungsunternehmen, mit PV erzeugte Energie auf intelligente Weise in Kühlanlagen zu speichern und einzusetzen, um ihre Nutzung von Energie zu verzögern und Energiekosten zu senken. Die patentierten Wärmespeicherzellen rühren von einem NASA-Ansatz zur Verwendung von „Latentwärmespeichermaterial“ her, um infiltrierte Wärme zu absorbieren, so dass die Produkte ihre Zieltemperaturen beibehalten. Diese umweltfreundliche Lösung löst eine der größten Herausforderungen für die Solarenergienutzung, indem die erneuerbare Variabilität reduziert wird. </w:t>
      </w:r>
    </w:p>
    <w:p w:rsidR="00FB44EB" w:rsidRPr="00501126" w:rsidRDefault="00FB44EB" w:rsidP="00FB44EB">
      <w:pPr>
        <w:spacing w:after="0" w:line="269" w:lineRule="auto"/>
        <w:rPr>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Viking Colds Lösung zur Speicherung von Solarenergie wird zu einem wichtigen Zeitpunkt für Europa eingeführt, da ein verbindliches Ziel gesetzt wurde, bis 2020 mindestens 20 % der europäischen Energie mit erneuerbaren Quellen zu erzeugen. „Viking Colds Lösung zur Speicherung von Solarenergie steht bereit, um Europa beim Erfüllen seiner Ziele für erneuerbare Energien zu helfen und gleichzeitig durch Reduzierung des Stromspitzenbedarfs das Stromnetz auszugleichen“, sagte Bell. „Die Verwendung erneuerbarer Energien nimmt stetig zu und wird letztlich die Fähigkeit der konventionellen Ressourcen überwältigen, die erneuerbare Variabilität zu kompensieren.“</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Versorgungsunternehmen profitieren von Viking Colds Lösung zur Speicherung von Solarenergie, indem sie beim Kunden ein</w:t>
      </w:r>
      <w:r w:rsidR="00FB44EB">
        <w:rPr>
          <w:rFonts w:ascii="Calibri" w:eastAsia="Calibri" w:hAnsi="Calibri" w:cs="Calibri"/>
          <w:bdr w:val="nil"/>
          <w:lang w:val="de-DE"/>
        </w:rPr>
        <w:t>en</w:t>
      </w:r>
      <w:r w:rsidRPr="00501126">
        <w:rPr>
          <w:rFonts w:ascii="Calibri" w:eastAsia="Calibri" w:hAnsi="Calibri" w:cs="Calibri"/>
          <w:bdr w:val="nil"/>
          <w:lang w:val="de-DE"/>
        </w:rPr>
        <w:t xml:space="preserve"> „Puffer“ von effizienten und umweltfreundlichen Wärmespeichern On-Demand bereitstellen. Die Lösung hilft auch, das Stromnetz zu stabilisieren, und ermöglicht mehr intermittierenden Anwendern und Anbietern von Strom, sich sicher gegenseitig zu verbinden. Außerdem trägt sie dazu bei, obligatorische lokale Ziele zur Energiespeicherung zu erreichen.</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Solardächer kombiniert mit Viking Colds Solar Energy Storage™ bieten mehrere Vorteile für Unternehmen und Stromnetzbetreiber in ganz Europa:</w:t>
      </w:r>
    </w:p>
    <w:p w:rsidR="00FB44EB" w:rsidRPr="00501126" w:rsidRDefault="00FB44EB" w:rsidP="00FB44EB">
      <w:pPr>
        <w:spacing w:after="0" w:line="269" w:lineRule="auto"/>
        <w:rPr>
          <w:rFonts w:eastAsia="Times New Roman" w:cs="Times New Roman"/>
          <w:lang w:val="de-DE"/>
        </w:rPr>
      </w:pPr>
    </w:p>
    <w:p w:rsidR="00FB44EB" w:rsidRPr="00501126" w:rsidRDefault="00501126" w:rsidP="00FB44EB">
      <w:pPr>
        <w:pStyle w:val="ListParagraph"/>
        <w:numPr>
          <w:ilvl w:val="0"/>
          <w:numId w:val="1"/>
        </w:numPr>
        <w:spacing w:after="0" w:line="269" w:lineRule="auto"/>
        <w:rPr>
          <w:rFonts w:eastAsia="Times New Roman" w:cs="Times New Roman"/>
          <w:lang w:val="de-DE"/>
        </w:rPr>
      </w:pPr>
      <w:r w:rsidRPr="00501126">
        <w:rPr>
          <w:rFonts w:ascii="Calibri" w:eastAsia="Calibri" w:hAnsi="Calibri" w:cs="Calibri"/>
          <w:b/>
          <w:bCs/>
          <w:bdr w:val="nil"/>
          <w:lang w:val="de-DE"/>
        </w:rPr>
        <w:t>Erhöhung des Wertes von Solar-PV:</w:t>
      </w:r>
      <w:r w:rsidRPr="00501126">
        <w:rPr>
          <w:rFonts w:ascii="Calibri" w:eastAsia="Calibri" w:hAnsi="Calibri" w:cs="Calibri"/>
          <w:bdr w:val="nil"/>
          <w:lang w:val="de-DE"/>
        </w:rPr>
        <w:t xml:space="preserve"> Energie tagsüber speichern und sie zur Kühlung nachts</w:t>
      </w:r>
      <w:r w:rsidR="00FB44EB">
        <w:rPr>
          <w:rFonts w:ascii="Calibri" w:eastAsia="Calibri" w:hAnsi="Calibri" w:cs="Calibri"/>
          <w:bdr w:val="nil"/>
          <w:lang w:val="de-DE"/>
        </w:rPr>
        <w:t xml:space="preserve"> </w:t>
      </w:r>
      <w:r w:rsidRPr="00501126">
        <w:rPr>
          <w:rFonts w:ascii="Calibri" w:eastAsia="Calibri" w:hAnsi="Calibri" w:cs="Calibri"/>
          <w:bdr w:val="nil"/>
          <w:lang w:val="de-DE"/>
        </w:rPr>
        <w:t>nutzen (steigende Einsparungen)</w:t>
      </w:r>
    </w:p>
    <w:p w:rsidR="00FB44EB" w:rsidRPr="00501126" w:rsidRDefault="00501126" w:rsidP="00FB44EB">
      <w:pPr>
        <w:numPr>
          <w:ilvl w:val="0"/>
          <w:numId w:val="1"/>
        </w:numPr>
        <w:spacing w:after="0" w:line="269" w:lineRule="auto"/>
        <w:rPr>
          <w:rFonts w:eastAsia="Times New Roman" w:cs="Times New Roman"/>
          <w:lang w:val="de-DE"/>
        </w:rPr>
      </w:pPr>
      <w:r w:rsidRPr="00501126">
        <w:rPr>
          <w:rFonts w:ascii="Calibri" w:eastAsia="Calibri" w:hAnsi="Calibri" w:cs="Calibri"/>
          <w:b/>
          <w:bCs/>
          <w:bdr w:val="nil"/>
          <w:lang w:val="de-DE"/>
        </w:rPr>
        <w:t>Wirtschaftlichkeit und Langlebigkeit des Systems:</w:t>
      </w:r>
      <w:r w:rsidRPr="00501126">
        <w:rPr>
          <w:rFonts w:ascii="Calibri" w:eastAsia="Calibri" w:hAnsi="Calibri" w:cs="Calibri"/>
          <w:bdr w:val="nil"/>
          <w:lang w:val="de-DE"/>
        </w:rPr>
        <w:t xml:space="preserve"> Solardächer und Viking Colds Wärmespeicher sind kostengünstig und wurden für mindestens 20 Jahre Betrieb oder die Lebensdauer der Anlage konzipiert, und das bei minimaler Wartung</w:t>
      </w:r>
    </w:p>
    <w:p w:rsidR="00FB44EB" w:rsidRPr="00501126" w:rsidRDefault="00501126" w:rsidP="00FB44EB">
      <w:pPr>
        <w:pStyle w:val="ListParagraph"/>
        <w:numPr>
          <w:ilvl w:val="0"/>
          <w:numId w:val="1"/>
        </w:numPr>
        <w:spacing w:after="0" w:line="269" w:lineRule="auto"/>
        <w:rPr>
          <w:rFonts w:eastAsia="Times New Roman" w:cs="Times New Roman"/>
          <w:lang w:val="de-DE"/>
        </w:rPr>
      </w:pPr>
      <w:r w:rsidRPr="00501126">
        <w:rPr>
          <w:rFonts w:ascii="Calibri" w:eastAsia="Calibri" w:hAnsi="Calibri" w:cs="Calibri"/>
          <w:b/>
          <w:bCs/>
          <w:bdr w:val="nil"/>
          <w:lang w:val="de-DE"/>
        </w:rPr>
        <w:t>Niedrigere Spitzenbedarfskosten:</w:t>
      </w:r>
      <w:r w:rsidRPr="00501126">
        <w:rPr>
          <w:rFonts w:ascii="Calibri" w:eastAsia="Calibri" w:hAnsi="Calibri" w:cs="Calibri"/>
          <w:bdr w:val="nil"/>
          <w:lang w:val="de-DE"/>
        </w:rPr>
        <w:t xml:space="preserve"> Reduzierung oder Verschiebung der Spitzenbelastung zu jeder Tageszeit erhöht die Einsparungen in Zeiten erneuerbarer Variabilität oder zu Spitzenzeiten</w:t>
      </w:r>
    </w:p>
    <w:p w:rsidR="00FB44EB" w:rsidRPr="00501126" w:rsidRDefault="00501126" w:rsidP="00FB44EB">
      <w:pPr>
        <w:pStyle w:val="ListParagraph"/>
        <w:numPr>
          <w:ilvl w:val="0"/>
          <w:numId w:val="1"/>
        </w:numPr>
        <w:spacing w:after="0" w:line="269" w:lineRule="auto"/>
        <w:rPr>
          <w:rFonts w:eastAsia="Times New Roman" w:cs="Times New Roman"/>
          <w:lang w:val="de-DE"/>
        </w:rPr>
      </w:pPr>
      <w:r w:rsidRPr="00501126">
        <w:rPr>
          <w:rFonts w:ascii="Calibri" w:eastAsia="Calibri" w:hAnsi="Calibri" w:cs="Calibri"/>
          <w:b/>
          <w:bCs/>
          <w:bdr w:val="nil"/>
          <w:lang w:val="de-DE"/>
        </w:rPr>
        <w:t>Reduzierung des Betriebsrisikos:</w:t>
      </w:r>
      <w:r w:rsidRPr="00501126">
        <w:rPr>
          <w:rFonts w:ascii="Calibri" w:eastAsia="Calibri" w:hAnsi="Calibri" w:cs="Calibri"/>
          <w:bdr w:val="nil"/>
          <w:lang w:val="de-DE"/>
        </w:rPr>
        <w:t xml:space="preserve"> Thermische Notfallpläne ermöglichen den Kunden, sichere Temperaturen beizubehalten und die Lebensmittelqualität bei Strom- oder Geräteausfällen zu bewahren, um </w:t>
      </w:r>
      <w:r w:rsidR="001D2E2E">
        <w:rPr>
          <w:rFonts w:ascii="Calibri" w:eastAsia="Calibri" w:hAnsi="Calibri" w:cs="Calibri"/>
          <w:bdr w:val="nil"/>
          <w:lang w:val="de-DE"/>
        </w:rPr>
        <w:t xml:space="preserve">so </w:t>
      </w:r>
      <w:r w:rsidRPr="00501126">
        <w:rPr>
          <w:rFonts w:ascii="Calibri" w:eastAsia="Calibri" w:hAnsi="Calibri" w:cs="Calibri"/>
          <w:bdr w:val="nil"/>
          <w:lang w:val="de-DE"/>
        </w:rPr>
        <w:t>den Verlust verderblicher Lebensmittel zu beseitigen und Betriebsunterbrechungen zu minimieren</w:t>
      </w:r>
    </w:p>
    <w:p w:rsidR="00FB44EB" w:rsidRPr="00501126" w:rsidRDefault="00501126" w:rsidP="00FB44EB">
      <w:pPr>
        <w:numPr>
          <w:ilvl w:val="0"/>
          <w:numId w:val="1"/>
        </w:numPr>
        <w:spacing w:after="0" w:line="269" w:lineRule="auto"/>
        <w:rPr>
          <w:rFonts w:eastAsia="Times New Roman" w:cs="Times New Roman"/>
          <w:lang w:val="de-DE"/>
        </w:rPr>
      </w:pPr>
      <w:r w:rsidRPr="00501126">
        <w:rPr>
          <w:rFonts w:ascii="Calibri" w:eastAsia="Calibri" w:hAnsi="Calibri" w:cs="Calibri"/>
          <w:b/>
          <w:bCs/>
          <w:bdr w:val="nil"/>
          <w:lang w:val="de-DE"/>
        </w:rPr>
        <w:t>Wirtschaftliche Entwicklung:</w:t>
      </w:r>
      <w:r w:rsidRPr="00501126">
        <w:rPr>
          <w:rFonts w:ascii="Calibri" w:eastAsia="Calibri" w:hAnsi="Calibri" w:cs="Calibri"/>
          <w:bdr w:val="nil"/>
          <w:lang w:val="de-DE"/>
        </w:rPr>
        <w:t xml:space="preserve"> Solardächer und Viking Colds Wärmespeicher nutzen lokale Technik und Arbeitskräfte, um so Versorgungsunternehmensinvestitionen auszunutzen, um die lokale Wirtschaft zu stärken</w:t>
      </w:r>
    </w:p>
    <w:p w:rsidR="00FB44EB" w:rsidRPr="00501126" w:rsidRDefault="00FB44EB" w:rsidP="00FB44EB">
      <w:pPr>
        <w:spacing w:after="0" w:line="269" w:lineRule="auto"/>
        <w:ind w:left="720"/>
        <w:rPr>
          <w:rFonts w:eastAsia="Times New Roman" w:cs="Times New Roman"/>
          <w:lang w:val="de-DE"/>
        </w:rPr>
      </w:pPr>
    </w:p>
    <w:p w:rsidR="00FB44EB" w:rsidRPr="00501126" w:rsidRDefault="00501126" w:rsidP="00FB44EB">
      <w:pPr>
        <w:spacing w:after="0" w:line="269" w:lineRule="auto"/>
        <w:rPr>
          <w:lang w:val="de-DE"/>
        </w:rPr>
      </w:pPr>
      <w:r w:rsidRPr="00501126">
        <w:rPr>
          <w:rFonts w:ascii="Calibri" w:eastAsia="Calibri" w:hAnsi="Calibri" w:cs="Calibri"/>
          <w:bdr w:val="nil"/>
          <w:lang w:val="de-DE"/>
        </w:rPr>
        <w:t xml:space="preserve">Die Nachfrage nach frischen und Tiefkühlprodukten zusammen mit einer wachsenden Bevölkerung hat schnell die Nachfrage nach Kältespeichern in der ganzen Welt erhöht. Die Europäische Kommission prognostiziert, dass die Nachfrage nach Kältespeichern in Europa bis 2030 um 73 % steigen wird. </w:t>
      </w:r>
    </w:p>
    <w:p w:rsidR="00FB44EB" w:rsidRPr="00501126" w:rsidRDefault="00FB44EB" w:rsidP="00FB44EB">
      <w:pPr>
        <w:spacing w:after="0" w:line="269" w:lineRule="auto"/>
        <w:rPr>
          <w:rFonts w:eastAsia="Times New Roman" w:cs="Times New Roman"/>
          <w:i/>
          <w:lang w:val="de-DE"/>
        </w:rPr>
      </w:pPr>
    </w:p>
    <w:p w:rsidR="00FB44EB" w:rsidRPr="00501126" w:rsidRDefault="00501126" w:rsidP="00FB44EB">
      <w:pPr>
        <w:spacing w:after="0" w:line="269" w:lineRule="auto"/>
        <w:rPr>
          <w:rFonts w:eastAsia="Times New Roman" w:cs="Times New Roman"/>
          <w:b/>
          <w:lang w:val="de-DE"/>
        </w:rPr>
      </w:pPr>
      <w:r w:rsidRPr="00501126">
        <w:rPr>
          <w:rFonts w:ascii="Calibri" w:eastAsia="Calibri" w:hAnsi="Calibri" w:cs="Calibri"/>
          <w:b/>
          <w:bCs/>
          <w:bdr w:val="nil"/>
          <w:lang w:val="de-DE"/>
        </w:rPr>
        <w:t>Über Viking Cold Solutions™</w:t>
      </w:r>
    </w:p>
    <w:p w:rsidR="00FB44EB" w:rsidRPr="00501126" w:rsidRDefault="00501126" w:rsidP="00FB44EB">
      <w:pPr>
        <w:spacing w:after="0" w:line="269" w:lineRule="auto"/>
        <w:rPr>
          <w:rFonts w:eastAsia="Times New Roman" w:cs="Times New Roman"/>
          <w:lang w:val="de-DE"/>
        </w:rPr>
      </w:pPr>
      <w:r w:rsidRPr="00501126">
        <w:rPr>
          <w:rFonts w:ascii="Calibri" w:eastAsia="Calibri" w:hAnsi="Calibri" w:cs="Calibri"/>
          <w:bdr w:val="nil"/>
          <w:lang w:val="de-DE"/>
        </w:rPr>
        <w:t xml:space="preserve">Viking Cold Solutions™ ist ein Wärmeenergiemanagement-Unternehmen, das sich darauf konzentriert, die Kühlhaussysteme der Welt intelligenter und effizienter zu gestalten. Seine Wärmespeichersysteme haben seinen Kunden über 5.587 MWh Energie eingespart und über 3.853 Tonnen Kohlenstoff aus der Luft entfernt. Sein Team verfügt über weitreichende Erfahrungen in den Bereichen Kühlenergiemanagement, Supermarkt-Energiemanagement und Wärmespeichersysteme. Viking Colds umweltfreundliche Speicherlösungen reduzieren die Betriebskosten und die Geschäftsrisiken für Kühlanlagen und Supermärkte mit großen Energiebelastungen aufgrund eines hohen Kühlungsbedarfs. Das Unternehmen expandiert rasch in den USA und international. Erfahren Sie mehr unter </w:t>
      </w:r>
      <w:hyperlink r:id="rId8" w:history="1">
        <w:r w:rsidRPr="00501126">
          <w:rPr>
            <w:rFonts w:ascii="Calibri" w:eastAsia="Calibri" w:hAnsi="Calibri" w:cs="Calibri"/>
            <w:color w:val="0563C1"/>
            <w:u w:val="single"/>
            <w:bdr w:val="nil"/>
            <w:lang w:val="de-DE"/>
          </w:rPr>
          <w:t>www.vikingcold.com</w:t>
        </w:r>
      </w:hyperlink>
      <w:r w:rsidRPr="00501126">
        <w:rPr>
          <w:rFonts w:ascii="Calibri" w:eastAsia="Calibri" w:hAnsi="Calibri" w:cs="Calibri"/>
          <w:bdr w:val="nil"/>
          <w:lang w:val="de-DE"/>
        </w:rPr>
        <w:t>.</w:t>
      </w:r>
      <w:bookmarkStart w:id="0" w:name="_GoBack"/>
      <w:bookmarkEnd w:id="0"/>
    </w:p>
    <w:p w:rsidR="00FB44EB" w:rsidRPr="00501126" w:rsidRDefault="00FB44EB" w:rsidP="00FB44EB">
      <w:pPr>
        <w:spacing w:after="0" w:line="269" w:lineRule="auto"/>
        <w:rPr>
          <w:rFonts w:eastAsia="Times New Roman" w:cs="Times New Roman"/>
          <w:i/>
          <w:lang w:val="de-DE"/>
        </w:rPr>
      </w:pPr>
    </w:p>
    <w:p w:rsidR="0036733B" w:rsidRPr="00501126" w:rsidRDefault="0036733B" w:rsidP="0036733B">
      <w:pPr>
        <w:spacing w:after="0" w:line="269" w:lineRule="auto"/>
        <w:rPr>
          <w:rFonts w:eastAsia="Times New Roman" w:cs="Times New Roman"/>
          <w:i/>
          <w:lang w:val="de-DE"/>
        </w:rPr>
      </w:pPr>
      <w:r w:rsidRPr="00501126">
        <w:rPr>
          <w:rFonts w:ascii="Calibri" w:eastAsia="Calibri" w:hAnsi="Calibri" w:cs="Calibri"/>
          <w:bdr w:val="nil"/>
          <w:lang w:val="de-DE"/>
        </w:rPr>
        <w:t xml:space="preserve">Um mehr zu erfahren, schauen Sie sich bitte </w:t>
      </w:r>
      <w:hyperlink r:id="rId9" w:history="1">
        <w:r w:rsidRPr="00501126">
          <w:rPr>
            <w:rFonts w:ascii="Calibri" w:eastAsia="Calibri" w:hAnsi="Calibri" w:cs="Calibri"/>
            <w:color w:val="0563C1"/>
            <w:u w:val="single"/>
            <w:bdr w:val="nil"/>
            <w:lang w:val="de-DE"/>
          </w:rPr>
          <w:t>Viking Colds 90 Sekunden lange Video an,</w:t>
        </w:r>
      </w:hyperlink>
      <w:r w:rsidRPr="00501126">
        <w:rPr>
          <w:rFonts w:ascii="Calibri" w:eastAsia="Calibri" w:hAnsi="Calibri" w:cs="Calibri"/>
          <w:color w:val="0563C1"/>
          <w:u w:val="single"/>
          <w:bdr w:val="nil"/>
          <w:lang w:val="de-DE"/>
        </w:rPr>
        <w:t xml:space="preserve"> das erklärt, wie die Technologie funktioniert</w:t>
      </w:r>
      <w:r w:rsidRPr="00501126">
        <w:rPr>
          <w:rFonts w:ascii="Calibri" w:eastAsia="Calibri" w:hAnsi="Calibri" w:cs="Calibri"/>
          <w:bdr w:val="nil"/>
          <w:lang w:val="de-DE"/>
        </w:rPr>
        <w:t>.</w:t>
      </w:r>
    </w:p>
    <w:p w:rsidR="00FB44EB" w:rsidRPr="00501126" w:rsidRDefault="00FB44EB" w:rsidP="0036733B">
      <w:pPr>
        <w:spacing w:after="0" w:line="269" w:lineRule="auto"/>
        <w:rPr>
          <w:lang w:val="de-DE"/>
        </w:rPr>
      </w:pPr>
    </w:p>
    <w:sectPr w:rsidR="00FB44EB" w:rsidRPr="00501126" w:rsidSect="00DC782A">
      <w:headerReference w:type="default" r:id="rId10"/>
      <w:footerReference w:type="default" r:id="rId11"/>
      <w:head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1A5" w:rsidRDefault="001011A5" w:rsidP="00A44C82">
      <w:pPr>
        <w:spacing w:after="0" w:line="240" w:lineRule="auto"/>
      </w:pPr>
      <w:r>
        <w:separator/>
      </w:r>
    </w:p>
  </w:endnote>
  <w:endnote w:type="continuationSeparator" w:id="0">
    <w:p w:rsidR="001011A5" w:rsidRDefault="001011A5" w:rsidP="00A44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880328"/>
      <w:docPartObj>
        <w:docPartGallery w:val="Page Numbers (Bottom of Page)"/>
        <w:docPartUnique/>
      </w:docPartObj>
    </w:sdtPr>
    <w:sdtEndPr>
      <w:rPr>
        <w:noProof/>
      </w:rPr>
    </w:sdtEndPr>
    <w:sdtContent>
      <w:p w:rsidR="00A8296D" w:rsidRDefault="00A8296D">
        <w:pPr>
          <w:pStyle w:val="Footer"/>
          <w:jc w:val="right"/>
        </w:pPr>
        <w:r>
          <w:fldChar w:fldCharType="begin"/>
        </w:r>
        <w:r>
          <w:instrText xml:space="preserve"> PAGE   \* MERGEFORMAT </w:instrText>
        </w:r>
        <w:r>
          <w:fldChar w:fldCharType="separate"/>
        </w:r>
        <w:r w:rsidR="0036733B">
          <w:rPr>
            <w:noProof/>
          </w:rPr>
          <w:t>2</w:t>
        </w:r>
        <w:r>
          <w:rPr>
            <w:noProof/>
          </w:rPr>
          <w:fldChar w:fldCharType="end"/>
        </w:r>
      </w:p>
    </w:sdtContent>
  </w:sdt>
  <w:p w:rsidR="00444067" w:rsidRDefault="00444067" w:rsidP="0044406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1A5" w:rsidRDefault="001011A5" w:rsidP="00A44C82">
      <w:pPr>
        <w:spacing w:after="0" w:line="240" w:lineRule="auto"/>
      </w:pPr>
      <w:r>
        <w:separator/>
      </w:r>
    </w:p>
  </w:footnote>
  <w:footnote w:type="continuationSeparator" w:id="0">
    <w:p w:rsidR="001011A5" w:rsidRDefault="001011A5" w:rsidP="00A44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82A" w:rsidRDefault="00DC782A">
    <w:pPr>
      <w:pStyle w:val="Header"/>
    </w:pPr>
    <w:r>
      <w:rPr>
        <w:noProof/>
      </w:rPr>
      <w:drawing>
        <wp:anchor distT="0" distB="0" distL="114300" distR="114300" simplePos="0" relativeHeight="251660288" behindDoc="0" locked="0" layoutInCell="1" allowOverlap="1">
          <wp:simplePos x="0" y="0"/>
          <wp:positionH relativeFrom="column">
            <wp:posOffset>4346385</wp:posOffset>
          </wp:positionH>
          <wp:positionV relativeFrom="paragraph">
            <wp:posOffset>-313055</wp:posOffset>
          </wp:positionV>
          <wp:extent cx="2243582" cy="5354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king-cold-logo.png"/>
                  <pic:cNvPicPr/>
                </pic:nvPicPr>
                <pic:blipFill>
                  <a:blip r:embed="rId1">
                    <a:extLst>
                      <a:ext uri="{28A0092B-C50C-407E-A947-70E740481C1C}">
                        <a14:useLocalDpi xmlns:a14="http://schemas.microsoft.com/office/drawing/2010/main" val="0"/>
                      </a:ext>
                    </a:extLst>
                  </a:blip>
                  <a:stretch>
                    <a:fillRect/>
                  </a:stretch>
                </pic:blipFill>
                <pic:spPr>
                  <a:xfrm>
                    <a:off x="0" y="0"/>
                    <a:ext cx="2243582" cy="535487"/>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6D" w:rsidRDefault="00A8296D">
    <w:pPr>
      <w:pStyle w:val="Header"/>
    </w:pPr>
    <w:r>
      <w:rPr>
        <w:rFonts w:ascii="Calibri" w:eastAsia="Calibri" w:hAnsi="Calibri" w:cs="Calibri"/>
        <w:b/>
        <w:bCs/>
        <w:noProof/>
        <w:sz w:val="28"/>
        <w:szCs w:val="28"/>
        <w:bdr w:val="nil"/>
      </w:rPr>
      <w:drawing>
        <wp:anchor distT="0" distB="0" distL="114300" distR="114300" simplePos="0" relativeHeight="251659264" behindDoc="0" locked="0" layoutInCell="1" allowOverlap="1" wp14:anchorId="094B396B" wp14:editId="25E66A61">
          <wp:simplePos x="0" y="0"/>
          <wp:positionH relativeFrom="column">
            <wp:posOffset>4269286</wp:posOffset>
          </wp:positionH>
          <wp:positionV relativeFrom="paragraph">
            <wp:posOffset>-301625</wp:posOffset>
          </wp:positionV>
          <wp:extent cx="2057400" cy="4902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king-cold-logo.png"/>
                  <pic:cNvPicPr/>
                </pic:nvPicPr>
                <pic:blipFill>
                  <a:blip r:embed="rId1">
                    <a:extLst>
                      <a:ext uri="{28A0092B-C50C-407E-A947-70E740481C1C}">
                        <a14:useLocalDpi xmlns:a14="http://schemas.microsoft.com/office/drawing/2010/main" val="0"/>
                      </a:ext>
                    </a:extLst>
                  </a:blip>
                  <a:stretch>
                    <a:fillRect/>
                  </a:stretch>
                </pic:blipFill>
                <pic:spPr>
                  <a:xfrm>
                    <a:off x="0" y="0"/>
                    <a:ext cx="2057400" cy="4902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D370B"/>
    <w:multiLevelType w:val="multilevel"/>
    <w:tmpl w:val="CD34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126"/>
    <w:rsid w:val="00030F4C"/>
    <w:rsid w:val="00084B99"/>
    <w:rsid w:val="001011A5"/>
    <w:rsid w:val="001D2E2E"/>
    <w:rsid w:val="00291082"/>
    <w:rsid w:val="0036733B"/>
    <w:rsid w:val="00401C84"/>
    <w:rsid w:val="00444067"/>
    <w:rsid w:val="00501126"/>
    <w:rsid w:val="008B6D32"/>
    <w:rsid w:val="009A3A10"/>
    <w:rsid w:val="00A223AF"/>
    <w:rsid w:val="00A255A5"/>
    <w:rsid w:val="00A44C82"/>
    <w:rsid w:val="00A8296D"/>
    <w:rsid w:val="00A959E9"/>
    <w:rsid w:val="00AF246A"/>
    <w:rsid w:val="00DC782A"/>
    <w:rsid w:val="00E555A7"/>
    <w:rsid w:val="00FB44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D634424B-76F8-40D5-BD0B-0B749CC1F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D32"/>
  </w:style>
  <w:style w:type="paragraph" w:styleId="Heading2">
    <w:name w:val="heading 2"/>
    <w:basedOn w:val="Normal"/>
    <w:link w:val="Heading2Char"/>
    <w:uiPriority w:val="9"/>
    <w:qFormat/>
    <w:rsid w:val="006147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7D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147D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47D8"/>
    <w:rPr>
      <w:i/>
      <w:iCs/>
    </w:rPr>
  </w:style>
  <w:style w:type="character" w:styleId="Strong">
    <w:name w:val="Strong"/>
    <w:basedOn w:val="DefaultParagraphFont"/>
    <w:uiPriority w:val="22"/>
    <w:qFormat/>
    <w:rsid w:val="006147D8"/>
    <w:rPr>
      <w:b/>
      <w:bCs/>
    </w:rPr>
  </w:style>
  <w:style w:type="paragraph" w:styleId="ListParagraph">
    <w:name w:val="List Paragraph"/>
    <w:basedOn w:val="Normal"/>
    <w:uiPriority w:val="34"/>
    <w:qFormat/>
    <w:rsid w:val="005D1978"/>
    <w:pPr>
      <w:ind w:left="720"/>
      <w:contextualSpacing/>
    </w:pPr>
  </w:style>
  <w:style w:type="character" w:styleId="CommentReference">
    <w:name w:val="annotation reference"/>
    <w:basedOn w:val="DefaultParagraphFont"/>
    <w:uiPriority w:val="99"/>
    <w:semiHidden/>
    <w:unhideWhenUsed/>
    <w:rsid w:val="00CA0D4E"/>
    <w:rPr>
      <w:sz w:val="16"/>
      <w:szCs w:val="16"/>
    </w:rPr>
  </w:style>
  <w:style w:type="paragraph" w:styleId="CommentText">
    <w:name w:val="annotation text"/>
    <w:basedOn w:val="Normal"/>
    <w:link w:val="CommentTextChar"/>
    <w:uiPriority w:val="99"/>
    <w:semiHidden/>
    <w:unhideWhenUsed/>
    <w:rsid w:val="00CA0D4E"/>
    <w:pPr>
      <w:spacing w:line="240" w:lineRule="auto"/>
    </w:pPr>
    <w:rPr>
      <w:sz w:val="20"/>
      <w:szCs w:val="20"/>
    </w:rPr>
  </w:style>
  <w:style w:type="character" w:customStyle="1" w:styleId="CommentTextChar">
    <w:name w:val="Comment Text Char"/>
    <w:basedOn w:val="DefaultParagraphFont"/>
    <w:link w:val="CommentText"/>
    <w:uiPriority w:val="99"/>
    <w:semiHidden/>
    <w:rsid w:val="00CA0D4E"/>
    <w:rPr>
      <w:sz w:val="20"/>
      <w:szCs w:val="20"/>
    </w:rPr>
  </w:style>
  <w:style w:type="paragraph" w:styleId="CommentSubject">
    <w:name w:val="annotation subject"/>
    <w:basedOn w:val="CommentText"/>
    <w:next w:val="CommentText"/>
    <w:link w:val="CommentSubjectChar"/>
    <w:uiPriority w:val="99"/>
    <w:semiHidden/>
    <w:unhideWhenUsed/>
    <w:rsid w:val="00CA0D4E"/>
    <w:rPr>
      <w:b/>
      <w:bCs/>
    </w:rPr>
  </w:style>
  <w:style w:type="character" w:customStyle="1" w:styleId="CommentSubjectChar">
    <w:name w:val="Comment Subject Char"/>
    <w:basedOn w:val="CommentTextChar"/>
    <w:link w:val="CommentSubject"/>
    <w:uiPriority w:val="99"/>
    <w:semiHidden/>
    <w:rsid w:val="00CA0D4E"/>
    <w:rPr>
      <w:b/>
      <w:bCs/>
      <w:sz w:val="20"/>
      <w:szCs w:val="20"/>
    </w:rPr>
  </w:style>
  <w:style w:type="paragraph" w:styleId="BalloonText">
    <w:name w:val="Balloon Text"/>
    <w:basedOn w:val="Normal"/>
    <w:link w:val="BalloonTextChar"/>
    <w:uiPriority w:val="99"/>
    <w:semiHidden/>
    <w:unhideWhenUsed/>
    <w:rsid w:val="00CA0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D4E"/>
    <w:rPr>
      <w:rFonts w:ascii="Segoe UI" w:hAnsi="Segoe UI" w:cs="Segoe UI"/>
      <w:sz w:val="18"/>
      <w:szCs w:val="18"/>
    </w:rPr>
  </w:style>
  <w:style w:type="character" w:styleId="Hyperlink">
    <w:name w:val="Hyperlink"/>
    <w:basedOn w:val="DefaultParagraphFont"/>
    <w:uiPriority w:val="99"/>
    <w:unhideWhenUsed/>
    <w:rsid w:val="00FE22FD"/>
    <w:rPr>
      <w:color w:val="0563C1" w:themeColor="hyperlink"/>
      <w:u w:val="single"/>
    </w:rPr>
  </w:style>
  <w:style w:type="character" w:customStyle="1" w:styleId="st1">
    <w:name w:val="st1"/>
    <w:basedOn w:val="DefaultParagraphFont"/>
    <w:rsid w:val="003146C4"/>
  </w:style>
  <w:style w:type="paragraph" w:styleId="Revision">
    <w:name w:val="Revision"/>
    <w:hidden/>
    <w:uiPriority w:val="99"/>
    <w:semiHidden/>
    <w:rsid w:val="00C612D3"/>
    <w:pPr>
      <w:spacing w:after="0" w:line="240" w:lineRule="auto"/>
    </w:pPr>
  </w:style>
  <w:style w:type="paragraph" w:styleId="Header">
    <w:name w:val="header"/>
    <w:basedOn w:val="Normal"/>
    <w:link w:val="HeaderChar"/>
    <w:uiPriority w:val="99"/>
    <w:unhideWhenUsed/>
    <w:rsid w:val="00A44C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C82"/>
  </w:style>
  <w:style w:type="paragraph" w:styleId="Footer">
    <w:name w:val="footer"/>
    <w:basedOn w:val="Normal"/>
    <w:link w:val="FooterChar"/>
    <w:uiPriority w:val="99"/>
    <w:unhideWhenUsed/>
    <w:rsid w:val="00A44C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C82"/>
  </w:style>
  <w:style w:type="character" w:styleId="SubtleEmphasis">
    <w:name w:val="Subtle Emphasis"/>
    <w:basedOn w:val="DefaultParagraphFont"/>
    <w:uiPriority w:val="19"/>
    <w:qFormat/>
    <w:rsid w:val="00A8296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kingcol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nnovermesse.de/de/news/mediathek/videos/video-detailansicht.xhtml?id=AVID44586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32C22-6074-4EB0-B5BE-C2BAF1FF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Nabozny</dc:creator>
  <cp:lastModifiedBy>Hollie Goddard</cp:lastModifiedBy>
  <cp:revision>2</cp:revision>
  <cp:lastPrinted>2016-04-22T19:51:00Z</cp:lastPrinted>
  <dcterms:created xsi:type="dcterms:W3CDTF">2016-04-25T14:19:00Z</dcterms:created>
  <dcterms:modified xsi:type="dcterms:W3CDTF">2016-04-25T14:19:00Z</dcterms:modified>
</cp:coreProperties>
</file>